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A9" w:rsidRPr="00590E51" w:rsidRDefault="000B1DA9" w:rsidP="000B1DA9">
      <w:pPr>
        <w:spacing w:after="120" w:line="240" w:lineRule="auto"/>
        <w:rPr>
          <w:rFonts w:eastAsia="Calibri" w:cstheme="minorHAnsi"/>
        </w:rPr>
      </w:pPr>
      <w:r w:rsidRPr="00590E51">
        <w:rPr>
          <w:rFonts w:eastAsia="Calibri" w:cstheme="minorHAnsi"/>
        </w:rPr>
        <w:t>Anticipating obstacles:</w:t>
      </w:r>
    </w:p>
    <w:p w:rsidR="000B1DA9" w:rsidRPr="00207861" w:rsidRDefault="000B1DA9" w:rsidP="000B1DA9">
      <w:pPr>
        <w:spacing w:line="240" w:lineRule="auto"/>
        <w:ind w:firstLine="720"/>
        <w:rPr>
          <w:rFonts w:eastAsia="Calibri" w:cstheme="minorHAnsi"/>
        </w:rPr>
      </w:pPr>
      <w:r w:rsidRPr="00207861">
        <w:rPr>
          <w:rFonts w:eastAsia="Calibri" w:cstheme="minorHAnsi"/>
        </w:rPr>
        <w:t xml:space="preserve">It was invaluable to anticipate any potential barriers that could be encountered during Implementation and imperative to create a strategy to overcome the challenge.  The hurdles to our comprehensive strategy that were anticipated and addressed are described in Table 1. </w:t>
      </w:r>
    </w:p>
    <w:p w:rsidR="000B1DA9" w:rsidRPr="00590E51" w:rsidRDefault="00B204E8" w:rsidP="000B1DA9">
      <w:pPr>
        <w:spacing w:after="12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</w:t>
      </w:r>
      <w:bookmarkStart w:id="0" w:name="_GoBack"/>
      <w:bookmarkEnd w:id="0"/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07861">
              <w:rPr>
                <w:rFonts w:eastAsia="Calibri" w:cstheme="minorHAnsi"/>
                <w:b/>
              </w:rPr>
              <w:t>Anticipated Obstacles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07861">
              <w:rPr>
                <w:rFonts w:eastAsia="Calibri" w:cstheme="minorHAnsi"/>
                <w:b/>
              </w:rPr>
              <w:t>Safer Recommendations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Implicit assumption that “target” is high-risk drinkers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Based on the “prevention paradox” where moderate and infrequent binge drinkers cause more problems since there are that many more of them (Weitzman and Nelson, 2004) and lower-risk drinkers are most likely influenced by alcohol control measures.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Ambivalence about student drinking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Countering the Amethyst Initiative arguments with data on lives saved through Increasing the drinking age to 21.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Low perceived efficacy of environmental preventive interventions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Survey of UC Berkeley students (Saltz, 1998) indicates that respondents have a higher perception of the effectiveness of alcohol policies than they thought their peers would.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Challenges of coordination and resources allocation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Establishing a focus on off-campus parties provided an effective and efficient way to redistribute existing resources rather than being reactionary.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Possible fears of backlash (especially when enforcement is involved)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The issue was framed as one of student safety and avoidance of the consequences related to intoxication.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Preference for persuasion over control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Through laying out a comprehensive implementation strategy with a select group of stakeholders to obtain commitment to the project</w:t>
            </w:r>
          </w:p>
        </w:tc>
      </w:tr>
      <w:tr w:rsidR="000B1DA9" w:rsidRPr="00207861" w:rsidTr="005210E5">
        <w:tc>
          <w:tcPr>
            <w:tcW w:w="370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Prevention staff usually lack the authority to launch initiatives</w:t>
            </w:r>
          </w:p>
        </w:tc>
        <w:tc>
          <w:tcPr>
            <w:tcW w:w="5868" w:type="dxa"/>
            <w:shd w:val="clear" w:color="auto" w:fill="auto"/>
          </w:tcPr>
          <w:p w:rsidR="000B1DA9" w:rsidRPr="00207861" w:rsidRDefault="000B1DA9" w:rsidP="005210E5">
            <w:pPr>
              <w:spacing w:after="0" w:line="240" w:lineRule="auto"/>
              <w:rPr>
                <w:rFonts w:eastAsia="Calibri" w:cstheme="minorHAnsi"/>
              </w:rPr>
            </w:pPr>
            <w:r w:rsidRPr="00207861">
              <w:rPr>
                <w:rFonts w:eastAsia="Calibri" w:cstheme="minorHAnsi"/>
              </w:rPr>
              <w:t>Provided an implementation framework to build institutional and community support and commitment for the project</w:t>
            </w:r>
          </w:p>
        </w:tc>
      </w:tr>
    </w:tbl>
    <w:p w:rsidR="000B1DA9" w:rsidRPr="00590E51" w:rsidRDefault="000B1DA9" w:rsidP="000B1DA9">
      <w:pPr>
        <w:spacing w:after="120" w:line="240" w:lineRule="auto"/>
        <w:rPr>
          <w:rFonts w:eastAsia="Calibri" w:cstheme="minorHAnsi"/>
        </w:rPr>
      </w:pPr>
      <w:proofErr w:type="gramStart"/>
      <w:r w:rsidRPr="00590E51">
        <w:rPr>
          <w:rFonts w:eastAsia="Calibri" w:cstheme="minorHAnsi"/>
        </w:rPr>
        <w:t>Table 1.</w:t>
      </w:r>
      <w:proofErr w:type="gramEnd"/>
      <w:r w:rsidRPr="00590E51">
        <w:rPr>
          <w:rFonts w:eastAsia="Calibri" w:cstheme="minorHAnsi"/>
        </w:rPr>
        <w:t xml:space="preserve">  Anticipating Obstacles and Recommendations</w:t>
      </w:r>
    </w:p>
    <w:p w:rsidR="00C43E3D" w:rsidRDefault="00C43E3D"/>
    <w:sectPr w:rsidR="00C4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A9"/>
    <w:rsid w:val="000B1DA9"/>
    <w:rsid w:val="00306D4F"/>
    <w:rsid w:val="00634D53"/>
    <w:rsid w:val="00B204E8"/>
    <w:rsid w:val="00C43E3D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McGaffigan</dc:creator>
  <cp:lastModifiedBy>Richard McGaffigan</cp:lastModifiedBy>
  <cp:revision>3</cp:revision>
  <dcterms:created xsi:type="dcterms:W3CDTF">2014-01-30T02:14:00Z</dcterms:created>
  <dcterms:modified xsi:type="dcterms:W3CDTF">2014-01-30T17:17:00Z</dcterms:modified>
</cp:coreProperties>
</file>